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D415" w14:textId="3953F0E9" w:rsidR="00FD139B" w:rsidRDefault="001C0936" w:rsidP="00BA4D81">
      <w:pPr>
        <w:pStyle w:val="Heading1"/>
        <w:jc w:val="center"/>
      </w:pPr>
      <w:r>
        <w:t>SPINE PROTOCOL</w:t>
      </w:r>
    </w:p>
    <w:p w14:paraId="644DE3FF" w14:textId="7C7A5365" w:rsidR="001C0936" w:rsidRDefault="001C0936" w:rsidP="001C0936">
      <w:pPr>
        <w:pStyle w:val="Heading2"/>
      </w:pPr>
    </w:p>
    <w:p w14:paraId="7BDE3177" w14:textId="65433EED" w:rsidR="001C0936" w:rsidRDefault="001C0936" w:rsidP="001C0936">
      <w:pPr>
        <w:pStyle w:val="Heading2"/>
      </w:pPr>
      <w:r>
        <w:t>PRE-OP</w:t>
      </w:r>
    </w:p>
    <w:p w14:paraId="5FD1FE89" w14:textId="7003DB10" w:rsidR="001C0936" w:rsidRDefault="001C0936" w:rsidP="001C0936">
      <w:pPr>
        <w:pStyle w:val="ListParagraph"/>
        <w:numPr>
          <w:ilvl w:val="0"/>
          <w:numId w:val="1"/>
        </w:numPr>
      </w:pPr>
      <w:r>
        <w:t>Meds: Acetaminophen 15 mg/kg (max of 1000 mg) and Gabapentin 15 mg/kg (max of 900 mg)</w:t>
      </w:r>
    </w:p>
    <w:p w14:paraId="5EF7E341" w14:textId="209F48C0" w:rsidR="001C0936" w:rsidRDefault="001C0936" w:rsidP="001C0936">
      <w:pPr>
        <w:pStyle w:val="ListParagraph"/>
        <w:numPr>
          <w:ilvl w:val="0"/>
          <w:numId w:val="1"/>
        </w:numPr>
      </w:pPr>
      <w:r>
        <w:t>Labs: CBC and Type and Cross</w:t>
      </w:r>
    </w:p>
    <w:p w14:paraId="19B6AD24" w14:textId="32F7F2E2" w:rsidR="001C0936" w:rsidRDefault="001C0936" w:rsidP="001C0936">
      <w:pPr>
        <w:pStyle w:val="ListParagraph"/>
        <w:numPr>
          <w:ilvl w:val="0"/>
          <w:numId w:val="1"/>
        </w:numPr>
      </w:pPr>
      <w:r>
        <w:t>Assessment: Thorough neuro assessment of gross motor movement</w:t>
      </w:r>
    </w:p>
    <w:p w14:paraId="0402852D" w14:textId="6CDBCB1A" w:rsidR="001C0936" w:rsidRDefault="001C0936" w:rsidP="001C0936">
      <w:pPr>
        <w:pStyle w:val="Heading2"/>
      </w:pPr>
      <w:r>
        <w:t>INDUCTION</w:t>
      </w:r>
    </w:p>
    <w:p w14:paraId="470B9AD5" w14:textId="1B05D987" w:rsidR="001C0936" w:rsidRDefault="001C0936" w:rsidP="001C0936">
      <w:pPr>
        <w:pStyle w:val="ListParagraph"/>
        <w:numPr>
          <w:ilvl w:val="0"/>
          <w:numId w:val="3"/>
        </w:numPr>
      </w:pPr>
      <w:r>
        <w:t>Patient will go to sleep on the stretcher</w:t>
      </w:r>
    </w:p>
    <w:p w14:paraId="4A76C491" w14:textId="431F101B" w:rsidR="001C0936" w:rsidRDefault="001C0936" w:rsidP="001C0936">
      <w:pPr>
        <w:pStyle w:val="ListParagraph"/>
        <w:numPr>
          <w:ilvl w:val="0"/>
          <w:numId w:val="3"/>
        </w:numPr>
      </w:pPr>
      <w:r>
        <w:t xml:space="preserve">Standard induction with Propofol, Lidocaine Fentanyl, and Rocuronium </w:t>
      </w:r>
    </w:p>
    <w:p w14:paraId="19B9C370" w14:textId="3CDE75B8" w:rsidR="001C0936" w:rsidRDefault="001C0936" w:rsidP="001C0936">
      <w:pPr>
        <w:pStyle w:val="ListParagraph"/>
        <w:numPr>
          <w:ilvl w:val="0"/>
          <w:numId w:val="3"/>
        </w:numPr>
      </w:pPr>
      <w:r>
        <w:t>Two large bore IVs and an Arterial line to be placed</w:t>
      </w:r>
    </w:p>
    <w:p w14:paraId="3D56DBF6" w14:textId="1580C589" w:rsidR="00B938A0" w:rsidRDefault="00B938A0" w:rsidP="001C0936">
      <w:pPr>
        <w:pStyle w:val="ListParagraph"/>
        <w:numPr>
          <w:ilvl w:val="0"/>
          <w:numId w:val="3"/>
        </w:numPr>
      </w:pPr>
      <w:r>
        <w:t>Position:</w:t>
      </w:r>
    </w:p>
    <w:p w14:paraId="0826D251" w14:textId="5CB43D9E" w:rsidR="00B938A0" w:rsidRDefault="00B938A0" w:rsidP="00B938A0">
      <w:pPr>
        <w:pStyle w:val="ListParagraph"/>
        <w:numPr>
          <w:ilvl w:val="1"/>
          <w:numId w:val="3"/>
        </w:numPr>
      </w:pPr>
      <w:r>
        <w:t>Lubricate and place Tegaderm over the eyes</w:t>
      </w:r>
    </w:p>
    <w:p w14:paraId="09ACB8C8" w14:textId="21450ED4" w:rsidR="00B938A0" w:rsidRDefault="00B938A0" w:rsidP="00B938A0">
      <w:pPr>
        <w:pStyle w:val="ListParagraph"/>
        <w:numPr>
          <w:ilvl w:val="1"/>
          <w:numId w:val="3"/>
        </w:numPr>
      </w:pPr>
      <w:r>
        <w:t xml:space="preserve">Place bite block </w:t>
      </w:r>
      <w:r w:rsidR="0058570D">
        <w:t xml:space="preserve">between the molars </w:t>
      </w:r>
    </w:p>
    <w:p w14:paraId="615DB59F" w14:textId="4C8D2281" w:rsidR="00B938A0" w:rsidRDefault="00B938A0" w:rsidP="00B938A0">
      <w:pPr>
        <w:pStyle w:val="ListParagraph"/>
        <w:numPr>
          <w:ilvl w:val="1"/>
          <w:numId w:val="3"/>
        </w:numPr>
      </w:pPr>
      <w:r>
        <w:t>Flip patient prone with arm</w:t>
      </w:r>
      <w:r w:rsidR="0058570D">
        <w:t>s</w:t>
      </w:r>
      <w:r>
        <w:t xml:space="preserve"> in the superman position</w:t>
      </w:r>
      <w:r w:rsidR="0058570D">
        <w:t xml:space="preserve">, ensure no pressure on the eyes </w:t>
      </w:r>
    </w:p>
    <w:p w14:paraId="7260C934" w14:textId="2C366406" w:rsidR="001C0936" w:rsidRDefault="001C0936" w:rsidP="001C0936">
      <w:pPr>
        <w:pStyle w:val="ListParagraph"/>
        <w:numPr>
          <w:ilvl w:val="0"/>
          <w:numId w:val="3"/>
        </w:numPr>
      </w:pPr>
      <w:r>
        <w:t>Balanced Anesthetic with ½ MAC of inhaled anesthetic and infusion of Propofol and Fentanyl</w:t>
      </w:r>
    </w:p>
    <w:p w14:paraId="7C843B0E" w14:textId="1D471652" w:rsidR="00013ABC" w:rsidRDefault="00013ABC" w:rsidP="00013ABC">
      <w:pPr>
        <w:pStyle w:val="ListParagraph"/>
        <w:numPr>
          <w:ilvl w:val="1"/>
          <w:numId w:val="3"/>
        </w:numPr>
      </w:pPr>
      <w:r>
        <w:t xml:space="preserve">Duchenne patients will not use inhaled anesthetic and will use only TIVA </w:t>
      </w:r>
    </w:p>
    <w:p w14:paraId="568CEA43" w14:textId="58DBC23B" w:rsidR="00013ABC" w:rsidRDefault="00013ABC" w:rsidP="00013ABC">
      <w:pPr>
        <w:pStyle w:val="ListParagraph"/>
        <w:numPr>
          <w:ilvl w:val="1"/>
          <w:numId w:val="3"/>
        </w:numPr>
      </w:pPr>
      <w:r>
        <w:t xml:space="preserve">Fentanyl at </w:t>
      </w:r>
      <w:r w:rsidR="00631C40">
        <w:t>1-3</w:t>
      </w:r>
      <w:r>
        <w:t xml:space="preserve"> mcg/kg/</w:t>
      </w:r>
      <w:proofErr w:type="spellStart"/>
      <w:r>
        <w:t>hr</w:t>
      </w:r>
      <w:proofErr w:type="spellEnd"/>
      <w:r w:rsidR="00B56C4F">
        <w:t xml:space="preserve"> (IB</w:t>
      </w:r>
      <w:r w:rsidR="008F4D99">
        <w:t>W)</w:t>
      </w:r>
      <w:r>
        <w:t xml:space="preserve"> is a standard infusion rate</w:t>
      </w:r>
    </w:p>
    <w:p w14:paraId="66AFA0DA" w14:textId="4B436F21" w:rsidR="00013ABC" w:rsidRDefault="001748C5" w:rsidP="00013ABC">
      <w:pPr>
        <w:pStyle w:val="ListParagraph"/>
        <w:numPr>
          <w:ilvl w:val="1"/>
          <w:numId w:val="3"/>
        </w:numPr>
      </w:pPr>
      <w:r>
        <w:t xml:space="preserve">No </w:t>
      </w:r>
      <w:proofErr w:type="spellStart"/>
      <w:r w:rsidR="00013ABC">
        <w:t>Precedex</w:t>
      </w:r>
      <w:proofErr w:type="spellEnd"/>
      <w:r w:rsidR="00013ABC">
        <w:t xml:space="preserve"> infusion</w:t>
      </w:r>
      <w:r>
        <w:t xml:space="preserve">, can give boluses </w:t>
      </w:r>
      <w:r w:rsidR="00687AA5">
        <w:t xml:space="preserve">after </w:t>
      </w:r>
      <w:proofErr w:type="spellStart"/>
      <w:r w:rsidR="00687AA5">
        <w:t>extubation</w:t>
      </w:r>
      <w:proofErr w:type="spellEnd"/>
      <w:r w:rsidR="00687AA5">
        <w:t xml:space="preserve"> if required </w:t>
      </w:r>
    </w:p>
    <w:p w14:paraId="4074E3C7" w14:textId="67AC2D71" w:rsidR="00013ABC" w:rsidRDefault="00631C40" w:rsidP="00013ABC">
      <w:pPr>
        <w:pStyle w:val="ListParagraph"/>
        <w:numPr>
          <w:ilvl w:val="1"/>
          <w:numId w:val="3"/>
        </w:numPr>
      </w:pPr>
      <w:r>
        <w:t>No Ketamine</w:t>
      </w:r>
      <w:r w:rsidR="005203D4">
        <w:t xml:space="preserve"> unless discussed with </w:t>
      </w:r>
      <w:r w:rsidR="002A6282">
        <w:t xml:space="preserve">the </w:t>
      </w:r>
      <w:r w:rsidR="005203D4">
        <w:t xml:space="preserve">Anesthesiologist </w:t>
      </w:r>
      <w:r w:rsidR="001F106B">
        <w:t>as this falsely elevate</w:t>
      </w:r>
      <w:r w:rsidR="002A6282">
        <w:t xml:space="preserve">s </w:t>
      </w:r>
      <w:r w:rsidR="001F106B">
        <w:t>neuromonitoring signals as well as prolong</w:t>
      </w:r>
      <w:r w:rsidR="00387363">
        <w:t>s</w:t>
      </w:r>
      <w:r w:rsidR="001F106B">
        <w:t xml:space="preserve"> emergence </w:t>
      </w:r>
    </w:p>
    <w:p w14:paraId="7E024AAE" w14:textId="4CAB07EE" w:rsidR="00013ABC" w:rsidRDefault="00013ABC" w:rsidP="00013ABC">
      <w:pPr>
        <w:pStyle w:val="ListParagraph"/>
        <w:numPr>
          <w:ilvl w:val="0"/>
          <w:numId w:val="3"/>
        </w:numPr>
      </w:pPr>
      <w:r>
        <w:t>Decadron 0.2 mg/kg (max of 10 mg)</w:t>
      </w:r>
    </w:p>
    <w:p w14:paraId="3AEE666E" w14:textId="38A8EF7F" w:rsidR="00013ABC" w:rsidRDefault="00013ABC" w:rsidP="00013ABC">
      <w:pPr>
        <w:pStyle w:val="ListParagraph"/>
        <w:numPr>
          <w:ilvl w:val="0"/>
          <w:numId w:val="3"/>
        </w:numPr>
      </w:pPr>
      <w:r>
        <w:t>Antibiotics:</w:t>
      </w:r>
    </w:p>
    <w:p w14:paraId="43F8A325" w14:textId="01D21EED" w:rsidR="00013ABC" w:rsidRDefault="00013ABC" w:rsidP="00013ABC">
      <w:pPr>
        <w:pStyle w:val="ListParagraph"/>
        <w:numPr>
          <w:ilvl w:val="1"/>
          <w:numId w:val="3"/>
        </w:numPr>
      </w:pPr>
      <w:r>
        <w:t>Ancef 30 mg/kg for idiopathic cases</w:t>
      </w:r>
    </w:p>
    <w:p w14:paraId="74F922E4" w14:textId="63F6D61D" w:rsidR="00013ABC" w:rsidRDefault="00013ABC" w:rsidP="00013ABC">
      <w:pPr>
        <w:pStyle w:val="ListParagraph"/>
        <w:numPr>
          <w:ilvl w:val="1"/>
          <w:numId w:val="3"/>
        </w:numPr>
      </w:pPr>
      <w:r>
        <w:t>Ancef 30 mg/kg + Gentamycin 2.5 mg/kg for neuromuscular cases</w:t>
      </w:r>
    </w:p>
    <w:p w14:paraId="0F80F014" w14:textId="01241034" w:rsidR="00013ABC" w:rsidRDefault="00013ABC" w:rsidP="00013ABC">
      <w:pPr>
        <w:pStyle w:val="ListParagraph"/>
        <w:numPr>
          <w:ilvl w:val="0"/>
          <w:numId w:val="3"/>
        </w:numPr>
      </w:pPr>
      <w:r>
        <w:t>Tranexamic Acid:</w:t>
      </w:r>
    </w:p>
    <w:p w14:paraId="5F8E4A3E" w14:textId="31E8DD29" w:rsidR="00013ABC" w:rsidRDefault="00013ABC" w:rsidP="00013ABC">
      <w:pPr>
        <w:pStyle w:val="ListParagraph"/>
        <w:numPr>
          <w:ilvl w:val="1"/>
          <w:numId w:val="3"/>
        </w:numPr>
      </w:pPr>
      <w:r>
        <w:t>Bolus 30 mg/kg (max of 2g)</w:t>
      </w:r>
    </w:p>
    <w:p w14:paraId="4D792BC9" w14:textId="10B3E0D0" w:rsidR="00013ABC" w:rsidRDefault="00013ABC" w:rsidP="00013ABC">
      <w:pPr>
        <w:pStyle w:val="ListParagraph"/>
        <w:numPr>
          <w:ilvl w:val="1"/>
          <w:numId w:val="3"/>
        </w:numPr>
      </w:pPr>
      <w:r>
        <w:t>Infusion of 10 mg/kg/</w:t>
      </w:r>
      <w:proofErr w:type="spellStart"/>
      <w:r>
        <w:t>hr</w:t>
      </w:r>
      <w:proofErr w:type="spellEnd"/>
      <w:r>
        <w:t xml:space="preserve"> (max of 500 mg/</w:t>
      </w:r>
      <w:proofErr w:type="spellStart"/>
      <w:r>
        <w:t>hr</w:t>
      </w:r>
      <w:proofErr w:type="spellEnd"/>
      <w:r>
        <w:t>)</w:t>
      </w:r>
    </w:p>
    <w:p w14:paraId="5FC449E7" w14:textId="762972E0" w:rsidR="00013ABC" w:rsidRDefault="00013ABC" w:rsidP="00013ABC">
      <w:pPr>
        <w:pStyle w:val="Heading2"/>
      </w:pPr>
      <w:r>
        <w:t>INTRA-OP</w:t>
      </w:r>
    </w:p>
    <w:p w14:paraId="2F28F848" w14:textId="327B9C78" w:rsidR="00013ABC" w:rsidRDefault="002C708C" w:rsidP="00013ABC">
      <w:pPr>
        <w:pStyle w:val="ListParagraph"/>
        <w:numPr>
          <w:ilvl w:val="0"/>
          <w:numId w:val="4"/>
        </w:numPr>
      </w:pPr>
      <w:r>
        <w:t>Monitor blood loss closely, especially in neuromuscular patients</w:t>
      </w:r>
    </w:p>
    <w:p w14:paraId="4B2E6928" w14:textId="69FFFF50" w:rsidR="002C708C" w:rsidRDefault="002C708C" w:rsidP="002C708C">
      <w:pPr>
        <w:pStyle w:val="ListParagraph"/>
        <w:numPr>
          <w:ilvl w:val="1"/>
          <w:numId w:val="4"/>
        </w:numPr>
      </w:pPr>
      <w:r>
        <w:t>Cell saver will be available in most cases</w:t>
      </w:r>
    </w:p>
    <w:p w14:paraId="1CF28E20" w14:textId="18C9A692" w:rsidR="002C708C" w:rsidRDefault="002C708C" w:rsidP="00013ABC">
      <w:pPr>
        <w:pStyle w:val="ListParagraph"/>
        <w:numPr>
          <w:ilvl w:val="0"/>
          <w:numId w:val="4"/>
        </w:numPr>
      </w:pPr>
      <w:r>
        <w:t>Monitor fluid status</w:t>
      </w:r>
    </w:p>
    <w:p w14:paraId="0B07F3FA" w14:textId="2A653DAF" w:rsidR="002C708C" w:rsidRDefault="002C708C" w:rsidP="002C708C">
      <w:pPr>
        <w:pStyle w:val="ListParagraph"/>
        <w:numPr>
          <w:ilvl w:val="1"/>
          <w:numId w:val="4"/>
        </w:numPr>
      </w:pPr>
      <w:r>
        <w:t>Stroke volume variation can be calculated using the Arterial line</w:t>
      </w:r>
    </w:p>
    <w:p w14:paraId="08FC3D77" w14:textId="1753C9BD" w:rsidR="002C708C" w:rsidRDefault="002C708C" w:rsidP="002C708C">
      <w:pPr>
        <w:pStyle w:val="ListParagraph"/>
        <w:numPr>
          <w:ilvl w:val="1"/>
          <w:numId w:val="4"/>
        </w:numPr>
      </w:pPr>
      <w:r>
        <w:t xml:space="preserve">SVV &lt;12% generally indicates patient is no longer fluid responsive to hypotension </w:t>
      </w:r>
    </w:p>
    <w:p w14:paraId="747361AD" w14:textId="7CC3D955" w:rsidR="002C708C" w:rsidRDefault="002C708C" w:rsidP="002C708C">
      <w:pPr>
        <w:pStyle w:val="ListParagraph"/>
        <w:numPr>
          <w:ilvl w:val="1"/>
          <w:numId w:val="4"/>
        </w:numPr>
      </w:pPr>
      <w:r>
        <w:t xml:space="preserve">Can use crystalloid, colloid, or cell saver to maintain intravascular volume </w:t>
      </w:r>
    </w:p>
    <w:p w14:paraId="00759861" w14:textId="3A9F12E5" w:rsidR="002C708C" w:rsidRDefault="002C708C" w:rsidP="002C708C">
      <w:pPr>
        <w:pStyle w:val="ListParagraph"/>
        <w:numPr>
          <w:ilvl w:val="0"/>
          <w:numId w:val="4"/>
        </w:numPr>
      </w:pPr>
      <w:r>
        <w:t xml:space="preserve">SSEPs and MEPs will be monitored so make sure 4/4 TOF has returned before incision, can use </w:t>
      </w:r>
      <w:proofErr w:type="spellStart"/>
      <w:r>
        <w:t>sugammadex</w:t>
      </w:r>
      <w:proofErr w:type="spellEnd"/>
      <w:r>
        <w:t xml:space="preserve"> if rocuronium has not worn off</w:t>
      </w:r>
    </w:p>
    <w:p w14:paraId="21179DB0" w14:textId="77777777" w:rsidR="0058570D" w:rsidRDefault="0058570D" w:rsidP="002C708C">
      <w:pPr>
        <w:pStyle w:val="ListParagraph"/>
        <w:numPr>
          <w:ilvl w:val="0"/>
          <w:numId w:val="4"/>
        </w:numPr>
      </w:pPr>
      <w:r>
        <w:t>Blood Pressure Goals:</w:t>
      </w:r>
    </w:p>
    <w:p w14:paraId="4E3E750F" w14:textId="2442525B" w:rsidR="002C708C" w:rsidRDefault="002C708C" w:rsidP="0058570D">
      <w:pPr>
        <w:pStyle w:val="ListParagraph"/>
        <w:numPr>
          <w:ilvl w:val="1"/>
          <w:numId w:val="4"/>
        </w:numPr>
      </w:pPr>
      <w:r>
        <w:t>During dissection decrease the blood pressure decrease blood loss</w:t>
      </w:r>
      <w:r w:rsidR="0058570D">
        <w:t>, u</w:t>
      </w:r>
      <w:r>
        <w:t xml:space="preserve">sually maintain </w:t>
      </w:r>
      <w:r w:rsidR="0058570D">
        <w:t>MAP between 60-70 mmHg</w:t>
      </w:r>
    </w:p>
    <w:p w14:paraId="5FC20002" w14:textId="2A20B2F8" w:rsidR="002C708C" w:rsidRDefault="002C708C" w:rsidP="0058570D">
      <w:pPr>
        <w:pStyle w:val="ListParagraph"/>
        <w:numPr>
          <w:ilvl w:val="1"/>
          <w:numId w:val="4"/>
        </w:numPr>
      </w:pPr>
      <w:r>
        <w:lastRenderedPageBreak/>
        <w:t xml:space="preserve">During correction (rod placement) increase the blood pressure to ensure adequate </w:t>
      </w:r>
      <w:r w:rsidR="00B938A0">
        <w:t>signals for the neuromonitoring</w:t>
      </w:r>
      <w:r w:rsidR="0058570D">
        <w:t>, u</w:t>
      </w:r>
      <w:r w:rsidR="00B938A0">
        <w:t>sually maintain MAP &gt;</w:t>
      </w:r>
      <w:r w:rsidR="0058570D">
        <w:t>80</w:t>
      </w:r>
      <w:r w:rsidR="00B938A0">
        <w:t xml:space="preserve"> mmHg</w:t>
      </w:r>
    </w:p>
    <w:p w14:paraId="5D1FFF2D" w14:textId="27AD4920" w:rsidR="0058570D" w:rsidRDefault="0058570D" w:rsidP="0058570D">
      <w:pPr>
        <w:pStyle w:val="ListParagraph"/>
        <w:numPr>
          <w:ilvl w:val="1"/>
          <w:numId w:val="4"/>
        </w:numPr>
      </w:pPr>
      <w:r>
        <w:t xml:space="preserve">Discuss with </w:t>
      </w:r>
      <w:r w:rsidR="00287206">
        <w:t xml:space="preserve">the </w:t>
      </w:r>
      <w:r>
        <w:t xml:space="preserve">Anesthesiologist at the beginning of the case to ensure proper goals depending on the patient’s comorbidities, age, and baseline blood pressure </w:t>
      </w:r>
    </w:p>
    <w:p w14:paraId="3BF909E1" w14:textId="77777777" w:rsidR="00B938A0" w:rsidRDefault="00B938A0" w:rsidP="00B938A0">
      <w:pPr>
        <w:pStyle w:val="ListParagraph"/>
      </w:pPr>
    </w:p>
    <w:p w14:paraId="61F92AA8" w14:textId="77777777" w:rsidR="00B938A0" w:rsidRDefault="00B938A0" w:rsidP="00B938A0">
      <w:pPr>
        <w:pStyle w:val="Heading2"/>
      </w:pPr>
      <w:r>
        <w:t>CLOSURE</w:t>
      </w:r>
    </w:p>
    <w:p w14:paraId="6817A482" w14:textId="3855AD71" w:rsidR="00B938A0" w:rsidRDefault="00B938A0" w:rsidP="00B938A0">
      <w:pPr>
        <w:pStyle w:val="ListParagraph"/>
        <w:numPr>
          <w:ilvl w:val="0"/>
          <w:numId w:val="5"/>
        </w:numPr>
      </w:pPr>
      <w:r>
        <w:t xml:space="preserve">After the neuromonitoring tech has performed their last set of signals then turn off the infusions and maintain anesthesia with inhaled anesthetic </w:t>
      </w:r>
    </w:p>
    <w:p w14:paraId="74FEB4E0" w14:textId="49EBA08A" w:rsidR="00C93D4B" w:rsidRDefault="00C93D4B" w:rsidP="00C93D4B">
      <w:pPr>
        <w:pStyle w:val="ListParagraph"/>
        <w:numPr>
          <w:ilvl w:val="1"/>
          <w:numId w:val="5"/>
        </w:numPr>
      </w:pPr>
      <w:r>
        <w:t>Stop Propofol</w:t>
      </w:r>
      <w:r w:rsidR="008F4D99">
        <w:t xml:space="preserve"> and Fentanyl</w:t>
      </w:r>
      <w:r>
        <w:t xml:space="preserve"> infusions</w:t>
      </w:r>
      <w:r w:rsidR="00A02AA4">
        <w:t xml:space="preserve"> to ensure rapid </w:t>
      </w:r>
      <w:r w:rsidR="007F4B3B">
        <w:t xml:space="preserve">emergence </w:t>
      </w:r>
    </w:p>
    <w:p w14:paraId="6F7ABBD3" w14:textId="57DC3E7E" w:rsidR="000F4F94" w:rsidRDefault="000F4F94" w:rsidP="00C93D4B">
      <w:pPr>
        <w:pStyle w:val="ListParagraph"/>
        <w:numPr>
          <w:ilvl w:val="1"/>
          <w:numId w:val="5"/>
        </w:numPr>
      </w:pPr>
      <w:r>
        <w:t>Can turn on nitrous at this time</w:t>
      </w:r>
    </w:p>
    <w:p w14:paraId="37563A1F" w14:textId="0624FB7A" w:rsidR="000F4F94" w:rsidRDefault="00B52571" w:rsidP="00C93D4B">
      <w:pPr>
        <w:pStyle w:val="ListParagraph"/>
        <w:numPr>
          <w:ilvl w:val="1"/>
          <w:numId w:val="5"/>
        </w:numPr>
      </w:pPr>
      <w:r>
        <w:t xml:space="preserve">Slowly wean down inhaled anesthetic </w:t>
      </w:r>
      <w:r w:rsidR="00281D6D">
        <w:t xml:space="preserve">during closure </w:t>
      </w:r>
    </w:p>
    <w:p w14:paraId="03D37B88" w14:textId="60A953E9" w:rsidR="00B938A0" w:rsidRDefault="00B938A0" w:rsidP="00B938A0">
      <w:pPr>
        <w:pStyle w:val="ListParagraph"/>
        <w:numPr>
          <w:ilvl w:val="0"/>
          <w:numId w:val="4"/>
        </w:numPr>
      </w:pPr>
      <w:r>
        <w:t>Give Toradol 0.5 mg/kg</w:t>
      </w:r>
      <w:r w:rsidR="00DA280A">
        <w:t xml:space="preserve"> (max of 30mg)</w:t>
      </w:r>
      <w:r>
        <w:t xml:space="preserve"> if okayed by Dr. Quigley</w:t>
      </w:r>
    </w:p>
    <w:p w14:paraId="693604BB" w14:textId="7D9013E9" w:rsidR="00493F84" w:rsidRDefault="00493F84" w:rsidP="00B938A0">
      <w:pPr>
        <w:pStyle w:val="ListParagraph"/>
        <w:numPr>
          <w:ilvl w:val="0"/>
          <w:numId w:val="4"/>
        </w:numPr>
      </w:pPr>
      <w:proofErr w:type="gramStart"/>
      <w:r>
        <w:t>Long acting</w:t>
      </w:r>
      <w:proofErr w:type="gramEnd"/>
      <w:r>
        <w:t xml:space="preserve"> </w:t>
      </w:r>
      <w:r w:rsidR="008E77A5">
        <w:t>opioids</w:t>
      </w:r>
      <w:r>
        <w:t xml:space="preserve"> should not be needed due to the Fentanyl infusion having a longer context-sensitive half-life than Remifentanil </w:t>
      </w:r>
    </w:p>
    <w:p w14:paraId="332ED5E7" w14:textId="14874B76" w:rsidR="00195CB3" w:rsidRDefault="00195CB3" w:rsidP="00B938A0">
      <w:pPr>
        <w:pStyle w:val="ListParagraph"/>
        <w:numPr>
          <w:ilvl w:val="0"/>
          <w:numId w:val="4"/>
        </w:numPr>
      </w:pPr>
      <w:r>
        <w:t xml:space="preserve">Give Valium 0.1 mg/kg (max of 5mg) after </w:t>
      </w:r>
      <w:proofErr w:type="spellStart"/>
      <w:r>
        <w:t>extubation</w:t>
      </w:r>
      <w:proofErr w:type="spellEnd"/>
    </w:p>
    <w:p w14:paraId="2566B1D4" w14:textId="1B58D6B8" w:rsidR="00233D08" w:rsidRDefault="00233D08" w:rsidP="00233D08">
      <w:pPr>
        <w:pStyle w:val="ListParagraph"/>
        <w:numPr>
          <w:ilvl w:val="1"/>
          <w:numId w:val="4"/>
        </w:numPr>
      </w:pPr>
      <w:r>
        <w:t>Recommend giving half in the OR and the other half in PACU</w:t>
      </w:r>
    </w:p>
    <w:p w14:paraId="3A321B19" w14:textId="354DCBD9" w:rsidR="008E77A5" w:rsidRDefault="00BB0526" w:rsidP="008E77A5">
      <w:pPr>
        <w:pStyle w:val="ListParagraph"/>
        <w:numPr>
          <w:ilvl w:val="0"/>
          <w:numId w:val="4"/>
        </w:numPr>
      </w:pPr>
      <w:r>
        <w:t>Ensure patient can move all four extremities and follow commands before exiting the OR</w:t>
      </w:r>
      <w:r w:rsidR="00FC79F4">
        <w:t>, this is to be done with Dr. Quigley present</w:t>
      </w:r>
    </w:p>
    <w:p w14:paraId="016B9A1F" w14:textId="224235E9" w:rsidR="00B938A0" w:rsidRPr="00013ABC" w:rsidRDefault="00B938A0" w:rsidP="00A02AA4">
      <w:pPr>
        <w:pStyle w:val="ListParagraph"/>
      </w:pPr>
    </w:p>
    <w:sectPr w:rsidR="00B938A0" w:rsidRPr="0001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329D"/>
    <w:multiLevelType w:val="hybridMultilevel"/>
    <w:tmpl w:val="C1F8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5E58"/>
    <w:multiLevelType w:val="hybridMultilevel"/>
    <w:tmpl w:val="3D9A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4212"/>
    <w:multiLevelType w:val="hybridMultilevel"/>
    <w:tmpl w:val="DD52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BEB"/>
    <w:multiLevelType w:val="hybridMultilevel"/>
    <w:tmpl w:val="CCA6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A0FEB"/>
    <w:multiLevelType w:val="hybridMultilevel"/>
    <w:tmpl w:val="D56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36"/>
    <w:rsid w:val="00013ABC"/>
    <w:rsid w:val="000C3B89"/>
    <w:rsid w:val="000F4F94"/>
    <w:rsid w:val="001748C5"/>
    <w:rsid w:val="00195CB3"/>
    <w:rsid w:val="001C0936"/>
    <w:rsid w:val="001F106B"/>
    <w:rsid w:val="00233D08"/>
    <w:rsid w:val="00281D6D"/>
    <w:rsid w:val="00287206"/>
    <w:rsid w:val="002A6282"/>
    <w:rsid w:val="002C708C"/>
    <w:rsid w:val="00387363"/>
    <w:rsid w:val="00493F84"/>
    <w:rsid w:val="005203D4"/>
    <w:rsid w:val="0058570D"/>
    <w:rsid w:val="00631C40"/>
    <w:rsid w:val="00687AA5"/>
    <w:rsid w:val="007F4B3B"/>
    <w:rsid w:val="008E77A5"/>
    <w:rsid w:val="008F4D99"/>
    <w:rsid w:val="00A02AA4"/>
    <w:rsid w:val="00B52571"/>
    <w:rsid w:val="00B56C4F"/>
    <w:rsid w:val="00B938A0"/>
    <w:rsid w:val="00BA4D81"/>
    <w:rsid w:val="00BB0526"/>
    <w:rsid w:val="00C93D4B"/>
    <w:rsid w:val="00DA280A"/>
    <w:rsid w:val="00FC79F4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A2EA"/>
  <w15:chartTrackingRefBased/>
  <w15:docId w15:val="{6E2C2213-7CB8-451D-97F5-1BD576CD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9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Escarza</dc:creator>
  <cp:keywords/>
  <dc:description/>
  <cp:lastModifiedBy>Brett Escarza</cp:lastModifiedBy>
  <cp:revision>29</cp:revision>
  <dcterms:created xsi:type="dcterms:W3CDTF">2020-06-23T00:00:00Z</dcterms:created>
  <dcterms:modified xsi:type="dcterms:W3CDTF">2021-10-22T23:17:00Z</dcterms:modified>
</cp:coreProperties>
</file>